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0F6" w:rsidRDefault="00FD50F6">
      <w:pPr>
        <w:rPr>
          <w:sz w:val="20"/>
        </w:rPr>
      </w:pPr>
      <w:bookmarkStart w:id="0" w:name="_GoBack"/>
      <w:bookmarkEnd w:id="0"/>
    </w:p>
    <w:p w:rsidR="00FD50F6" w:rsidRDefault="00FD50F6">
      <w:pPr>
        <w:spacing w:before="7"/>
        <w:rPr>
          <w:sz w:val="23"/>
        </w:rPr>
      </w:pPr>
    </w:p>
    <w:p w:rsidR="00FD50F6" w:rsidRPr="006440A4" w:rsidRDefault="0084360D">
      <w:pPr>
        <w:pStyle w:val="BodyText"/>
        <w:spacing w:before="90"/>
        <w:ind w:left="1021" w:right="572" w:hanging="200"/>
        <w:rPr>
          <w:rFonts w:asciiTheme="minorHAnsi" w:hAnsiTheme="minorHAnsi" w:cstheme="minorHAnsi"/>
        </w:rPr>
      </w:pPr>
      <w:r w:rsidRPr="006440A4">
        <w:rPr>
          <w:rFonts w:asciiTheme="minorHAnsi" w:hAnsiTheme="minorHAnsi" w:cstheme="minorHAnsi"/>
        </w:rPr>
        <w:t>Информация по чл.33,</w:t>
      </w:r>
      <w:r w:rsidR="00780E9B" w:rsidRPr="006440A4">
        <w:rPr>
          <w:rFonts w:asciiTheme="minorHAnsi" w:hAnsiTheme="minorHAnsi" w:cstheme="minorHAnsi"/>
        </w:rPr>
        <w:t xml:space="preserve"> </w:t>
      </w:r>
      <w:r w:rsidRPr="006440A4">
        <w:rPr>
          <w:rFonts w:asciiTheme="minorHAnsi" w:hAnsiTheme="minorHAnsi" w:cstheme="minorHAnsi"/>
        </w:rPr>
        <w:t xml:space="preserve">ал.1, т.3 на Наредба № 2 за проспектите при публично предлагане на ценни книжа и за разкриването на информация, относно факти </w:t>
      </w:r>
      <w:r w:rsidR="00423784">
        <w:rPr>
          <w:rFonts w:asciiTheme="minorHAnsi" w:hAnsiTheme="minorHAnsi" w:cstheme="minorHAnsi"/>
        </w:rPr>
        <w:t xml:space="preserve">и </w:t>
      </w:r>
      <w:r w:rsidRPr="006440A4">
        <w:rPr>
          <w:rFonts w:asciiTheme="minorHAnsi" w:hAnsiTheme="minorHAnsi" w:cstheme="minorHAnsi"/>
        </w:rPr>
        <w:t xml:space="preserve">обстоятелства по Приложение 9 от наредбата, настъпили през </w:t>
      </w:r>
      <w:r w:rsidR="00FA17AD">
        <w:rPr>
          <w:rFonts w:asciiTheme="minorHAnsi" w:hAnsiTheme="minorHAnsi" w:cstheme="minorHAnsi"/>
        </w:rPr>
        <w:t>третото</w:t>
      </w:r>
      <w:r w:rsidRPr="006440A4">
        <w:rPr>
          <w:rFonts w:asciiTheme="minorHAnsi" w:hAnsiTheme="minorHAnsi" w:cstheme="minorHAnsi"/>
        </w:rPr>
        <w:t xml:space="preserve"> </w:t>
      </w:r>
      <w:r w:rsidR="00423784">
        <w:rPr>
          <w:rFonts w:asciiTheme="minorHAnsi" w:hAnsiTheme="minorHAnsi" w:cstheme="minorHAnsi"/>
        </w:rPr>
        <w:t>тримесечие</w:t>
      </w:r>
      <w:r w:rsidRPr="006440A4">
        <w:rPr>
          <w:rFonts w:asciiTheme="minorHAnsi" w:hAnsiTheme="minorHAnsi" w:cstheme="minorHAnsi"/>
        </w:rPr>
        <w:t xml:space="preserve"> на 2020 г.</w:t>
      </w:r>
    </w:p>
    <w:p w:rsidR="00FD50F6" w:rsidRPr="006440A4" w:rsidRDefault="00FD50F6">
      <w:pPr>
        <w:spacing w:before="3" w:after="1"/>
        <w:rPr>
          <w:rFonts w:asciiTheme="minorHAnsi" w:hAnsiTheme="minorHAnsi" w:cstheme="minorHAnsi"/>
          <w:b/>
          <w:sz w:val="24"/>
          <w:szCs w:val="24"/>
        </w:rPr>
      </w:pPr>
    </w:p>
    <w:tbl>
      <w:tblPr>
        <w:tblW w:w="15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9072"/>
        <w:gridCol w:w="3544"/>
        <w:gridCol w:w="2126"/>
      </w:tblGrid>
      <w:tr w:rsidR="00FD50F6" w:rsidRPr="006440A4" w:rsidTr="00A91195">
        <w:trPr>
          <w:trHeight w:val="270"/>
        </w:trPr>
        <w:tc>
          <w:tcPr>
            <w:tcW w:w="567" w:type="dxa"/>
          </w:tcPr>
          <w:p w:rsidR="00FD50F6" w:rsidRPr="006440A4" w:rsidRDefault="00F801B1" w:rsidP="00F801B1">
            <w:pPr>
              <w:pStyle w:val="TableParagraph"/>
              <w:spacing w:line="240" w:lineRule="auto"/>
              <w:ind w:left="218" w:right="189" w:firstLine="7"/>
              <w:jc w:val="center"/>
              <w:rPr>
                <w:rFonts w:asciiTheme="minorHAnsi" w:hAnsiTheme="minorHAnsi" w:cstheme="minorHAnsi"/>
                <w:b/>
                <w:sz w:val="24"/>
                <w:szCs w:val="24"/>
              </w:rPr>
            </w:pPr>
            <w:r w:rsidRPr="006440A4">
              <w:rPr>
                <w:rFonts w:asciiTheme="minorHAnsi" w:hAnsiTheme="minorHAnsi" w:cstheme="minorHAnsi"/>
                <w:b/>
                <w:sz w:val="24"/>
                <w:szCs w:val="24"/>
              </w:rPr>
              <w:t>№</w:t>
            </w:r>
          </w:p>
        </w:tc>
        <w:tc>
          <w:tcPr>
            <w:tcW w:w="9072" w:type="dxa"/>
          </w:tcPr>
          <w:p w:rsidR="00FD50F6" w:rsidRPr="006440A4" w:rsidRDefault="0084360D" w:rsidP="00F801B1">
            <w:pPr>
              <w:pStyle w:val="TableParagraph"/>
              <w:spacing w:before="1" w:line="240" w:lineRule="auto"/>
              <w:ind w:right="1921"/>
              <w:jc w:val="center"/>
              <w:rPr>
                <w:rFonts w:asciiTheme="minorHAnsi" w:hAnsiTheme="minorHAnsi" w:cstheme="minorHAnsi"/>
                <w:b/>
                <w:sz w:val="24"/>
                <w:szCs w:val="24"/>
              </w:rPr>
            </w:pPr>
            <w:bookmarkStart w:id="1" w:name="Факти_и_обстоятелства_по_приложение_№_9_"/>
            <w:bookmarkEnd w:id="1"/>
            <w:r w:rsidRPr="006440A4">
              <w:rPr>
                <w:rFonts w:asciiTheme="minorHAnsi" w:hAnsiTheme="minorHAnsi" w:cstheme="minorHAnsi"/>
                <w:b/>
                <w:sz w:val="24"/>
                <w:szCs w:val="24"/>
              </w:rPr>
              <w:t>Факти и обстоятелства по приложение № 9</w:t>
            </w:r>
          </w:p>
        </w:tc>
        <w:tc>
          <w:tcPr>
            <w:tcW w:w="3544" w:type="dxa"/>
          </w:tcPr>
          <w:p w:rsidR="00FD50F6" w:rsidRPr="006440A4" w:rsidRDefault="0084360D" w:rsidP="00F801B1">
            <w:pPr>
              <w:pStyle w:val="TableParagraph"/>
              <w:spacing w:before="1" w:line="240" w:lineRule="auto"/>
              <w:ind w:left="0"/>
              <w:jc w:val="center"/>
              <w:rPr>
                <w:rFonts w:asciiTheme="minorHAnsi" w:hAnsiTheme="minorHAnsi" w:cstheme="minorHAnsi"/>
                <w:b/>
                <w:sz w:val="24"/>
                <w:szCs w:val="24"/>
              </w:rPr>
            </w:pPr>
            <w:r w:rsidRPr="006440A4">
              <w:rPr>
                <w:rFonts w:asciiTheme="minorHAnsi" w:hAnsiTheme="minorHAnsi" w:cstheme="minorHAnsi"/>
                <w:b/>
                <w:sz w:val="24"/>
                <w:szCs w:val="24"/>
              </w:rPr>
              <w:t>Информация</w:t>
            </w:r>
          </w:p>
        </w:tc>
        <w:tc>
          <w:tcPr>
            <w:tcW w:w="2126" w:type="dxa"/>
          </w:tcPr>
          <w:p w:rsidR="00FD50F6" w:rsidRPr="006440A4" w:rsidRDefault="0084360D" w:rsidP="00F801B1">
            <w:pPr>
              <w:pStyle w:val="TableParagraph"/>
              <w:spacing w:before="1" w:line="240" w:lineRule="auto"/>
              <w:jc w:val="center"/>
              <w:rPr>
                <w:rFonts w:asciiTheme="minorHAnsi" w:hAnsiTheme="minorHAnsi" w:cstheme="minorHAnsi"/>
                <w:b/>
                <w:sz w:val="24"/>
                <w:szCs w:val="24"/>
              </w:rPr>
            </w:pPr>
            <w:r w:rsidRPr="006440A4">
              <w:rPr>
                <w:rFonts w:asciiTheme="minorHAnsi" w:hAnsiTheme="minorHAnsi" w:cstheme="minorHAnsi"/>
                <w:b/>
                <w:sz w:val="24"/>
                <w:szCs w:val="24"/>
              </w:rPr>
              <w:t>Уведомление</w:t>
            </w:r>
          </w:p>
        </w:tc>
      </w:tr>
      <w:tr w:rsidR="00FD50F6" w:rsidRPr="006440A4" w:rsidTr="00A91195">
        <w:trPr>
          <w:trHeight w:val="274"/>
        </w:trPr>
        <w:tc>
          <w:tcPr>
            <w:tcW w:w="567" w:type="dxa"/>
          </w:tcPr>
          <w:p w:rsidR="00FD50F6" w:rsidRPr="006440A4" w:rsidRDefault="0084360D" w:rsidP="00F801B1">
            <w:pPr>
              <w:pStyle w:val="TableParagraph"/>
              <w:ind w:left="107"/>
              <w:jc w:val="center"/>
              <w:rPr>
                <w:rFonts w:asciiTheme="minorHAnsi" w:hAnsiTheme="minorHAnsi" w:cstheme="minorHAnsi"/>
                <w:sz w:val="24"/>
                <w:szCs w:val="24"/>
              </w:rPr>
            </w:pPr>
            <w:r w:rsidRPr="006440A4">
              <w:rPr>
                <w:rFonts w:asciiTheme="minorHAnsi" w:hAnsiTheme="minorHAnsi" w:cstheme="minorHAnsi"/>
                <w:sz w:val="24"/>
                <w:szCs w:val="24"/>
              </w:rPr>
              <w:t>1</w:t>
            </w:r>
          </w:p>
        </w:tc>
        <w:tc>
          <w:tcPr>
            <w:tcW w:w="9072" w:type="dxa"/>
          </w:tcPr>
          <w:p w:rsidR="00FD50F6" w:rsidRPr="006440A4" w:rsidRDefault="0084360D">
            <w:pPr>
              <w:pStyle w:val="TableParagraph"/>
              <w:rPr>
                <w:rFonts w:asciiTheme="minorHAnsi" w:hAnsiTheme="minorHAnsi" w:cstheme="minorHAnsi"/>
                <w:sz w:val="24"/>
                <w:szCs w:val="24"/>
              </w:rPr>
            </w:pPr>
            <w:r w:rsidRPr="006440A4">
              <w:rPr>
                <w:rFonts w:asciiTheme="minorHAnsi" w:hAnsiTheme="minorHAnsi" w:cstheme="minorHAnsi"/>
                <w:sz w:val="24"/>
                <w:szCs w:val="24"/>
              </w:rPr>
              <w:t>Промяна на лицата, упражняващи контрол върху дружеството.</w:t>
            </w:r>
          </w:p>
        </w:tc>
        <w:tc>
          <w:tcPr>
            <w:tcW w:w="3544" w:type="dxa"/>
          </w:tcPr>
          <w:p w:rsidR="00FD50F6" w:rsidRPr="006440A4" w:rsidRDefault="00834EE9" w:rsidP="00F801B1">
            <w:pPr>
              <w:pStyle w:val="TableParagraph"/>
              <w:spacing w:before="1" w:line="238" w:lineRule="exact"/>
              <w:jc w:val="center"/>
              <w:rPr>
                <w:rFonts w:asciiTheme="minorHAnsi" w:hAnsiTheme="minorHAnsi" w:cstheme="minorHAnsi"/>
                <w:sz w:val="24"/>
                <w:szCs w:val="24"/>
              </w:rPr>
            </w:pPr>
            <w:r w:rsidRPr="006440A4">
              <w:rPr>
                <w:rFonts w:asciiTheme="minorHAnsi" w:hAnsiTheme="minorHAnsi" w:cstheme="minorHAnsi"/>
                <w:sz w:val="24"/>
                <w:szCs w:val="24"/>
              </w:rPr>
              <w:t>Без промяна</w:t>
            </w:r>
          </w:p>
        </w:tc>
        <w:tc>
          <w:tcPr>
            <w:tcW w:w="2126" w:type="dxa"/>
          </w:tcPr>
          <w:p w:rsidR="00FD50F6" w:rsidRPr="006440A4" w:rsidRDefault="00834EE9" w:rsidP="00F801B1">
            <w:pPr>
              <w:pStyle w:val="TableParagraph"/>
              <w:ind w:left="109"/>
              <w:jc w:val="center"/>
              <w:rPr>
                <w:rFonts w:asciiTheme="minorHAnsi" w:hAnsiTheme="minorHAnsi" w:cstheme="minorHAnsi"/>
                <w:sz w:val="24"/>
                <w:szCs w:val="24"/>
              </w:rPr>
            </w:pPr>
            <w:r w:rsidRPr="006440A4">
              <w:rPr>
                <w:rFonts w:asciiTheme="minorHAnsi" w:hAnsiTheme="minorHAnsi" w:cstheme="minorHAnsi"/>
                <w:sz w:val="24"/>
                <w:szCs w:val="24"/>
              </w:rPr>
              <w:t>Неприложимо</w:t>
            </w:r>
          </w:p>
        </w:tc>
      </w:tr>
      <w:tr w:rsidR="00FD50F6" w:rsidRPr="006440A4" w:rsidTr="00A91195">
        <w:trPr>
          <w:trHeight w:val="506"/>
        </w:trPr>
        <w:tc>
          <w:tcPr>
            <w:tcW w:w="567" w:type="dxa"/>
          </w:tcPr>
          <w:p w:rsidR="004859DB" w:rsidRDefault="004859DB" w:rsidP="00F801B1">
            <w:pPr>
              <w:pStyle w:val="TableParagraph"/>
              <w:ind w:left="107"/>
              <w:jc w:val="center"/>
              <w:rPr>
                <w:rFonts w:asciiTheme="minorHAnsi" w:hAnsiTheme="minorHAnsi" w:cstheme="minorHAnsi"/>
                <w:sz w:val="24"/>
                <w:szCs w:val="24"/>
              </w:rPr>
            </w:pPr>
          </w:p>
          <w:p w:rsidR="00FD50F6" w:rsidRPr="006440A4" w:rsidRDefault="0084360D" w:rsidP="00F801B1">
            <w:pPr>
              <w:pStyle w:val="TableParagraph"/>
              <w:ind w:left="107"/>
              <w:jc w:val="center"/>
              <w:rPr>
                <w:rFonts w:asciiTheme="minorHAnsi" w:hAnsiTheme="minorHAnsi" w:cstheme="minorHAnsi"/>
                <w:sz w:val="24"/>
                <w:szCs w:val="24"/>
              </w:rPr>
            </w:pPr>
            <w:r w:rsidRPr="006440A4">
              <w:rPr>
                <w:rFonts w:asciiTheme="minorHAnsi" w:hAnsiTheme="minorHAnsi" w:cstheme="minorHAnsi"/>
                <w:sz w:val="24"/>
                <w:szCs w:val="24"/>
              </w:rPr>
              <w:t>2</w:t>
            </w:r>
          </w:p>
        </w:tc>
        <w:tc>
          <w:tcPr>
            <w:tcW w:w="9072" w:type="dxa"/>
          </w:tcPr>
          <w:p w:rsidR="00FD50F6" w:rsidRPr="006440A4" w:rsidRDefault="0084360D">
            <w:pPr>
              <w:pStyle w:val="TableParagraph"/>
              <w:rPr>
                <w:rFonts w:asciiTheme="minorHAnsi" w:hAnsiTheme="minorHAnsi" w:cstheme="minorHAnsi"/>
                <w:sz w:val="24"/>
                <w:szCs w:val="24"/>
              </w:rPr>
            </w:pPr>
            <w:r w:rsidRPr="006440A4">
              <w:rPr>
                <w:rFonts w:asciiTheme="minorHAnsi" w:hAnsiTheme="minorHAnsi" w:cstheme="minorHAnsi"/>
                <w:sz w:val="24"/>
                <w:szCs w:val="24"/>
              </w:rPr>
              <w:t>Откриване на производство по несъстоятелност за дружеството или за негово</w:t>
            </w:r>
          </w:p>
          <w:p w:rsidR="00FD50F6" w:rsidRPr="006440A4" w:rsidRDefault="0084360D">
            <w:pPr>
              <w:pStyle w:val="TableParagraph"/>
              <w:spacing w:before="1" w:line="238" w:lineRule="exact"/>
              <w:rPr>
                <w:rFonts w:asciiTheme="minorHAnsi" w:hAnsiTheme="minorHAnsi" w:cstheme="minorHAnsi"/>
                <w:sz w:val="24"/>
                <w:szCs w:val="24"/>
              </w:rPr>
            </w:pPr>
            <w:r w:rsidRPr="006440A4">
              <w:rPr>
                <w:rFonts w:asciiTheme="minorHAnsi" w:hAnsiTheme="minorHAnsi" w:cstheme="minorHAnsi"/>
                <w:sz w:val="24"/>
                <w:szCs w:val="24"/>
              </w:rPr>
              <w:t>дъщерно дружество и всички съществени етапи, свързани с производството.</w:t>
            </w:r>
          </w:p>
        </w:tc>
        <w:tc>
          <w:tcPr>
            <w:tcW w:w="3544" w:type="dxa"/>
          </w:tcPr>
          <w:p w:rsidR="00FD50F6" w:rsidRPr="006440A4" w:rsidRDefault="00834EE9" w:rsidP="00F801B1">
            <w:pPr>
              <w:pStyle w:val="TableParagraph"/>
              <w:spacing w:before="1" w:line="238" w:lineRule="exact"/>
              <w:jc w:val="center"/>
              <w:rPr>
                <w:rFonts w:asciiTheme="minorHAnsi" w:hAnsiTheme="minorHAnsi" w:cstheme="minorHAnsi"/>
                <w:sz w:val="24"/>
                <w:szCs w:val="24"/>
              </w:rPr>
            </w:pPr>
            <w:r w:rsidRPr="006440A4">
              <w:rPr>
                <w:rFonts w:asciiTheme="minorHAnsi" w:hAnsiTheme="minorHAnsi" w:cstheme="minorHAnsi"/>
                <w:sz w:val="24"/>
                <w:szCs w:val="24"/>
              </w:rPr>
              <w:t xml:space="preserve">През разглеждания период </w:t>
            </w:r>
            <w:r w:rsidR="00F801B1" w:rsidRPr="006440A4">
              <w:rPr>
                <w:rFonts w:asciiTheme="minorHAnsi" w:hAnsiTheme="minorHAnsi" w:cstheme="minorHAnsi"/>
                <w:sz w:val="24"/>
                <w:szCs w:val="24"/>
              </w:rPr>
              <w:t>няма настъпило подобно обстоятелство.</w:t>
            </w:r>
          </w:p>
        </w:tc>
        <w:tc>
          <w:tcPr>
            <w:tcW w:w="2126" w:type="dxa"/>
          </w:tcPr>
          <w:p w:rsidR="004859DB" w:rsidRDefault="004859DB" w:rsidP="00F801B1">
            <w:pPr>
              <w:pStyle w:val="TableParagraph"/>
              <w:ind w:left="109"/>
              <w:jc w:val="center"/>
              <w:rPr>
                <w:rFonts w:asciiTheme="minorHAnsi" w:hAnsiTheme="minorHAnsi" w:cstheme="minorHAnsi"/>
                <w:sz w:val="24"/>
                <w:szCs w:val="24"/>
              </w:rPr>
            </w:pPr>
          </w:p>
          <w:p w:rsidR="00FD50F6" w:rsidRPr="006440A4" w:rsidRDefault="00834EE9" w:rsidP="00F801B1">
            <w:pPr>
              <w:pStyle w:val="TableParagraph"/>
              <w:ind w:left="109"/>
              <w:jc w:val="center"/>
              <w:rPr>
                <w:rFonts w:asciiTheme="minorHAnsi" w:hAnsiTheme="minorHAnsi" w:cstheme="minorHAnsi"/>
                <w:sz w:val="24"/>
                <w:szCs w:val="24"/>
              </w:rPr>
            </w:pPr>
            <w:r w:rsidRPr="006440A4">
              <w:rPr>
                <w:rFonts w:asciiTheme="minorHAnsi" w:hAnsiTheme="minorHAnsi" w:cstheme="minorHAnsi"/>
                <w:sz w:val="24"/>
                <w:szCs w:val="24"/>
              </w:rPr>
              <w:t>Неприложимо</w:t>
            </w:r>
          </w:p>
        </w:tc>
      </w:tr>
      <w:tr w:rsidR="00FD50F6" w:rsidRPr="006440A4" w:rsidTr="00A91195">
        <w:trPr>
          <w:trHeight w:val="186"/>
        </w:trPr>
        <w:tc>
          <w:tcPr>
            <w:tcW w:w="567" w:type="dxa"/>
          </w:tcPr>
          <w:p w:rsidR="00FD50F6" w:rsidRPr="006440A4" w:rsidRDefault="0084360D" w:rsidP="00F801B1">
            <w:pPr>
              <w:pStyle w:val="TableParagraph"/>
              <w:ind w:left="107"/>
              <w:jc w:val="center"/>
              <w:rPr>
                <w:rFonts w:asciiTheme="minorHAnsi" w:hAnsiTheme="minorHAnsi" w:cstheme="minorHAnsi"/>
                <w:sz w:val="24"/>
                <w:szCs w:val="24"/>
              </w:rPr>
            </w:pPr>
            <w:r w:rsidRPr="006440A4">
              <w:rPr>
                <w:rFonts w:asciiTheme="minorHAnsi" w:hAnsiTheme="minorHAnsi" w:cstheme="minorHAnsi"/>
                <w:sz w:val="24"/>
                <w:szCs w:val="24"/>
              </w:rPr>
              <w:t>3</w:t>
            </w:r>
          </w:p>
        </w:tc>
        <w:tc>
          <w:tcPr>
            <w:tcW w:w="9072" w:type="dxa"/>
          </w:tcPr>
          <w:p w:rsidR="00FD50F6" w:rsidRPr="006440A4" w:rsidRDefault="0084360D">
            <w:pPr>
              <w:pStyle w:val="TableParagraph"/>
              <w:rPr>
                <w:rFonts w:asciiTheme="minorHAnsi" w:hAnsiTheme="minorHAnsi" w:cstheme="minorHAnsi"/>
                <w:sz w:val="24"/>
                <w:szCs w:val="24"/>
              </w:rPr>
            </w:pPr>
            <w:r w:rsidRPr="006440A4">
              <w:rPr>
                <w:rFonts w:asciiTheme="minorHAnsi" w:hAnsiTheme="minorHAnsi" w:cstheme="minorHAnsi"/>
                <w:sz w:val="24"/>
                <w:szCs w:val="24"/>
              </w:rPr>
              <w:t>Сключване или изпълнение на съществени сделки.</w:t>
            </w:r>
          </w:p>
        </w:tc>
        <w:tc>
          <w:tcPr>
            <w:tcW w:w="3544" w:type="dxa"/>
          </w:tcPr>
          <w:p w:rsidR="00FD50F6" w:rsidRPr="006440A4" w:rsidRDefault="00834EE9" w:rsidP="00F801B1">
            <w:pPr>
              <w:pStyle w:val="TableParagraph"/>
              <w:spacing w:before="1" w:line="238" w:lineRule="exact"/>
              <w:jc w:val="center"/>
              <w:rPr>
                <w:rFonts w:asciiTheme="minorHAnsi" w:hAnsiTheme="minorHAnsi" w:cstheme="minorHAnsi"/>
                <w:sz w:val="24"/>
                <w:szCs w:val="24"/>
              </w:rPr>
            </w:pPr>
            <w:r w:rsidRPr="006440A4">
              <w:rPr>
                <w:rFonts w:asciiTheme="minorHAnsi" w:hAnsiTheme="minorHAnsi" w:cstheme="minorHAnsi"/>
                <w:sz w:val="24"/>
                <w:szCs w:val="24"/>
              </w:rPr>
              <w:t>Няма подобни сделки</w:t>
            </w:r>
            <w:r w:rsidR="00F801B1" w:rsidRPr="006440A4">
              <w:rPr>
                <w:rFonts w:asciiTheme="minorHAnsi" w:hAnsiTheme="minorHAnsi" w:cstheme="minorHAnsi"/>
                <w:sz w:val="24"/>
                <w:szCs w:val="24"/>
              </w:rPr>
              <w:t>.</w:t>
            </w:r>
          </w:p>
        </w:tc>
        <w:tc>
          <w:tcPr>
            <w:tcW w:w="2126" w:type="dxa"/>
          </w:tcPr>
          <w:p w:rsidR="00FD50F6" w:rsidRPr="006440A4" w:rsidRDefault="00834EE9" w:rsidP="00F801B1">
            <w:pPr>
              <w:pStyle w:val="TableParagraph"/>
              <w:ind w:left="109"/>
              <w:jc w:val="center"/>
              <w:rPr>
                <w:rFonts w:asciiTheme="minorHAnsi" w:hAnsiTheme="minorHAnsi" w:cstheme="minorHAnsi"/>
                <w:sz w:val="24"/>
                <w:szCs w:val="24"/>
              </w:rPr>
            </w:pPr>
            <w:r w:rsidRPr="006440A4">
              <w:rPr>
                <w:rFonts w:asciiTheme="minorHAnsi" w:hAnsiTheme="minorHAnsi" w:cstheme="minorHAnsi"/>
                <w:sz w:val="24"/>
                <w:szCs w:val="24"/>
              </w:rPr>
              <w:t>Неприложимо</w:t>
            </w:r>
          </w:p>
        </w:tc>
      </w:tr>
      <w:tr w:rsidR="00FD50F6" w:rsidRPr="006440A4" w:rsidTr="00A91195">
        <w:trPr>
          <w:trHeight w:val="506"/>
        </w:trPr>
        <w:tc>
          <w:tcPr>
            <w:tcW w:w="567" w:type="dxa"/>
          </w:tcPr>
          <w:p w:rsidR="00FD50F6" w:rsidRPr="006440A4" w:rsidRDefault="0084360D" w:rsidP="00F801B1">
            <w:pPr>
              <w:pStyle w:val="TableParagraph"/>
              <w:ind w:left="107"/>
              <w:jc w:val="center"/>
              <w:rPr>
                <w:rFonts w:asciiTheme="minorHAnsi" w:hAnsiTheme="minorHAnsi" w:cstheme="minorHAnsi"/>
                <w:sz w:val="24"/>
                <w:szCs w:val="24"/>
              </w:rPr>
            </w:pPr>
            <w:r w:rsidRPr="006440A4">
              <w:rPr>
                <w:rFonts w:asciiTheme="minorHAnsi" w:hAnsiTheme="minorHAnsi" w:cstheme="minorHAnsi"/>
                <w:sz w:val="24"/>
                <w:szCs w:val="24"/>
              </w:rPr>
              <w:t>4</w:t>
            </w:r>
          </w:p>
        </w:tc>
        <w:tc>
          <w:tcPr>
            <w:tcW w:w="9072" w:type="dxa"/>
          </w:tcPr>
          <w:p w:rsidR="00FD50F6" w:rsidRPr="006440A4" w:rsidRDefault="0084360D">
            <w:pPr>
              <w:pStyle w:val="TableParagraph"/>
              <w:rPr>
                <w:rFonts w:asciiTheme="minorHAnsi" w:hAnsiTheme="minorHAnsi" w:cstheme="minorHAnsi"/>
                <w:sz w:val="24"/>
                <w:szCs w:val="24"/>
              </w:rPr>
            </w:pPr>
            <w:r w:rsidRPr="006440A4">
              <w:rPr>
                <w:rFonts w:asciiTheme="minorHAnsi" w:hAnsiTheme="minorHAnsi" w:cstheme="minorHAnsi"/>
                <w:sz w:val="24"/>
                <w:szCs w:val="24"/>
              </w:rPr>
              <w:t>Решение за сключване, прекратяване и разваляне на договор за съвместно</w:t>
            </w:r>
          </w:p>
          <w:p w:rsidR="00FD50F6" w:rsidRPr="006440A4" w:rsidRDefault="0084360D">
            <w:pPr>
              <w:pStyle w:val="TableParagraph"/>
              <w:spacing w:before="1" w:line="238" w:lineRule="exact"/>
              <w:rPr>
                <w:rFonts w:asciiTheme="minorHAnsi" w:hAnsiTheme="minorHAnsi" w:cstheme="minorHAnsi"/>
                <w:sz w:val="24"/>
                <w:szCs w:val="24"/>
              </w:rPr>
            </w:pPr>
            <w:r w:rsidRPr="006440A4">
              <w:rPr>
                <w:rFonts w:asciiTheme="minorHAnsi" w:hAnsiTheme="minorHAnsi" w:cstheme="minorHAnsi"/>
                <w:sz w:val="24"/>
                <w:szCs w:val="24"/>
              </w:rPr>
              <w:t>предприятие.</w:t>
            </w:r>
          </w:p>
        </w:tc>
        <w:tc>
          <w:tcPr>
            <w:tcW w:w="3544" w:type="dxa"/>
          </w:tcPr>
          <w:p w:rsidR="00FD50F6" w:rsidRPr="006440A4" w:rsidRDefault="00834EE9" w:rsidP="00F801B1">
            <w:pPr>
              <w:pStyle w:val="TableParagraph"/>
              <w:spacing w:before="1" w:line="238" w:lineRule="exact"/>
              <w:jc w:val="center"/>
              <w:rPr>
                <w:rFonts w:asciiTheme="minorHAnsi" w:hAnsiTheme="minorHAnsi" w:cstheme="minorHAnsi"/>
                <w:sz w:val="24"/>
                <w:szCs w:val="24"/>
              </w:rPr>
            </w:pPr>
            <w:r w:rsidRPr="006440A4">
              <w:rPr>
                <w:rFonts w:asciiTheme="minorHAnsi" w:hAnsiTheme="minorHAnsi" w:cstheme="minorHAnsi"/>
                <w:sz w:val="24"/>
                <w:szCs w:val="24"/>
              </w:rPr>
              <w:t>Няма подобни сделки</w:t>
            </w:r>
            <w:r w:rsidR="00F801B1" w:rsidRPr="006440A4">
              <w:rPr>
                <w:rFonts w:asciiTheme="minorHAnsi" w:hAnsiTheme="minorHAnsi" w:cstheme="minorHAnsi"/>
                <w:sz w:val="24"/>
                <w:szCs w:val="24"/>
              </w:rPr>
              <w:t>.</w:t>
            </w:r>
          </w:p>
        </w:tc>
        <w:tc>
          <w:tcPr>
            <w:tcW w:w="2126" w:type="dxa"/>
          </w:tcPr>
          <w:p w:rsidR="00FD50F6" w:rsidRPr="006440A4" w:rsidRDefault="00834EE9" w:rsidP="00F801B1">
            <w:pPr>
              <w:pStyle w:val="TableParagraph"/>
              <w:ind w:left="109"/>
              <w:jc w:val="center"/>
              <w:rPr>
                <w:rFonts w:asciiTheme="minorHAnsi" w:hAnsiTheme="minorHAnsi" w:cstheme="minorHAnsi"/>
                <w:sz w:val="24"/>
                <w:szCs w:val="24"/>
              </w:rPr>
            </w:pPr>
            <w:r w:rsidRPr="006440A4">
              <w:rPr>
                <w:rFonts w:asciiTheme="minorHAnsi" w:hAnsiTheme="minorHAnsi" w:cstheme="minorHAnsi"/>
                <w:sz w:val="24"/>
                <w:szCs w:val="24"/>
              </w:rPr>
              <w:t>Неприложимо</w:t>
            </w:r>
          </w:p>
        </w:tc>
      </w:tr>
      <w:tr w:rsidR="00FD50F6" w:rsidRPr="006440A4" w:rsidTr="00A91195">
        <w:trPr>
          <w:trHeight w:val="253"/>
        </w:trPr>
        <w:tc>
          <w:tcPr>
            <w:tcW w:w="567" w:type="dxa"/>
          </w:tcPr>
          <w:p w:rsidR="00FD50F6" w:rsidRPr="006440A4" w:rsidRDefault="0084360D" w:rsidP="00F801B1">
            <w:pPr>
              <w:pStyle w:val="TableParagraph"/>
              <w:ind w:left="107"/>
              <w:jc w:val="center"/>
              <w:rPr>
                <w:rFonts w:asciiTheme="minorHAnsi" w:hAnsiTheme="minorHAnsi" w:cstheme="minorHAnsi"/>
                <w:sz w:val="24"/>
                <w:szCs w:val="24"/>
              </w:rPr>
            </w:pPr>
            <w:r w:rsidRPr="006440A4">
              <w:rPr>
                <w:rFonts w:asciiTheme="minorHAnsi" w:hAnsiTheme="minorHAnsi" w:cstheme="minorHAnsi"/>
                <w:sz w:val="24"/>
                <w:szCs w:val="24"/>
              </w:rPr>
              <w:t>5</w:t>
            </w:r>
          </w:p>
        </w:tc>
        <w:tc>
          <w:tcPr>
            <w:tcW w:w="9072" w:type="dxa"/>
          </w:tcPr>
          <w:p w:rsidR="00FD50F6" w:rsidRPr="006440A4" w:rsidRDefault="0084360D">
            <w:pPr>
              <w:pStyle w:val="TableParagraph"/>
              <w:rPr>
                <w:rFonts w:asciiTheme="minorHAnsi" w:hAnsiTheme="minorHAnsi" w:cstheme="minorHAnsi"/>
                <w:sz w:val="24"/>
                <w:szCs w:val="24"/>
              </w:rPr>
            </w:pPr>
            <w:r w:rsidRPr="006440A4">
              <w:rPr>
                <w:rFonts w:asciiTheme="minorHAnsi" w:hAnsiTheme="minorHAnsi" w:cstheme="minorHAnsi"/>
                <w:sz w:val="24"/>
                <w:szCs w:val="24"/>
              </w:rPr>
              <w:t>Промяна на одиторите на дружеството и причини за промяната.</w:t>
            </w:r>
          </w:p>
        </w:tc>
        <w:tc>
          <w:tcPr>
            <w:tcW w:w="3544" w:type="dxa"/>
          </w:tcPr>
          <w:p w:rsidR="00FD50F6" w:rsidRPr="006440A4" w:rsidRDefault="00834EE9" w:rsidP="00F801B1">
            <w:pPr>
              <w:pStyle w:val="TableParagraph"/>
              <w:spacing w:before="1" w:line="238" w:lineRule="exact"/>
              <w:jc w:val="center"/>
              <w:rPr>
                <w:rFonts w:asciiTheme="minorHAnsi" w:hAnsiTheme="minorHAnsi" w:cstheme="minorHAnsi"/>
                <w:sz w:val="24"/>
                <w:szCs w:val="24"/>
              </w:rPr>
            </w:pPr>
            <w:r w:rsidRPr="006440A4">
              <w:rPr>
                <w:rFonts w:asciiTheme="minorHAnsi" w:hAnsiTheme="minorHAnsi" w:cstheme="minorHAnsi"/>
                <w:sz w:val="24"/>
                <w:szCs w:val="24"/>
              </w:rPr>
              <w:t>Без промяна</w:t>
            </w:r>
            <w:r w:rsidR="00F801B1" w:rsidRPr="006440A4">
              <w:rPr>
                <w:rFonts w:asciiTheme="minorHAnsi" w:hAnsiTheme="minorHAnsi" w:cstheme="minorHAnsi"/>
                <w:sz w:val="24"/>
                <w:szCs w:val="24"/>
              </w:rPr>
              <w:t>.</w:t>
            </w:r>
          </w:p>
        </w:tc>
        <w:tc>
          <w:tcPr>
            <w:tcW w:w="2126" w:type="dxa"/>
          </w:tcPr>
          <w:p w:rsidR="00FD50F6" w:rsidRPr="006440A4" w:rsidRDefault="00834EE9" w:rsidP="00F801B1">
            <w:pPr>
              <w:pStyle w:val="TableParagraph"/>
              <w:ind w:left="109"/>
              <w:jc w:val="center"/>
              <w:rPr>
                <w:rFonts w:asciiTheme="minorHAnsi" w:hAnsiTheme="minorHAnsi" w:cstheme="minorHAnsi"/>
                <w:sz w:val="24"/>
                <w:szCs w:val="24"/>
              </w:rPr>
            </w:pPr>
            <w:r w:rsidRPr="006440A4">
              <w:rPr>
                <w:rFonts w:asciiTheme="minorHAnsi" w:hAnsiTheme="minorHAnsi" w:cstheme="minorHAnsi"/>
                <w:sz w:val="24"/>
                <w:szCs w:val="24"/>
              </w:rPr>
              <w:t>Неприложимо</w:t>
            </w:r>
          </w:p>
        </w:tc>
      </w:tr>
      <w:tr w:rsidR="00F801B1" w:rsidRPr="006440A4" w:rsidTr="00A91195">
        <w:trPr>
          <w:trHeight w:val="757"/>
        </w:trPr>
        <w:tc>
          <w:tcPr>
            <w:tcW w:w="567" w:type="dxa"/>
          </w:tcPr>
          <w:p w:rsidR="004859DB" w:rsidRDefault="004859DB" w:rsidP="00F801B1">
            <w:pPr>
              <w:pStyle w:val="TableParagraph"/>
              <w:ind w:left="107"/>
              <w:jc w:val="center"/>
              <w:rPr>
                <w:rFonts w:asciiTheme="minorHAnsi" w:hAnsiTheme="minorHAnsi" w:cstheme="minorHAnsi"/>
                <w:sz w:val="24"/>
                <w:szCs w:val="24"/>
              </w:rPr>
            </w:pPr>
          </w:p>
          <w:p w:rsidR="00F801B1" w:rsidRPr="006440A4" w:rsidRDefault="00F801B1" w:rsidP="00F801B1">
            <w:pPr>
              <w:pStyle w:val="TableParagraph"/>
              <w:ind w:left="107"/>
              <w:jc w:val="center"/>
              <w:rPr>
                <w:rFonts w:asciiTheme="minorHAnsi" w:hAnsiTheme="minorHAnsi" w:cstheme="minorHAnsi"/>
                <w:sz w:val="24"/>
                <w:szCs w:val="24"/>
              </w:rPr>
            </w:pPr>
            <w:r w:rsidRPr="006440A4">
              <w:rPr>
                <w:rFonts w:asciiTheme="minorHAnsi" w:hAnsiTheme="minorHAnsi" w:cstheme="minorHAnsi"/>
                <w:sz w:val="24"/>
                <w:szCs w:val="24"/>
              </w:rPr>
              <w:t>6</w:t>
            </w:r>
          </w:p>
        </w:tc>
        <w:tc>
          <w:tcPr>
            <w:tcW w:w="9072" w:type="dxa"/>
          </w:tcPr>
          <w:p w:rsidR="00F801B1" w:rsidRPr="006440A4" w:rsidRDefault="00F801B1" w:rsidP="00F801B1">
            <w:pPr>
              <w:pStyle w:val="TableParagraph"/>
              <w:rPr>
                <w:rFonts w:asciiTheme="minorHAnsi" w:hAnsiTheme="minorHAnsi" w:cstheme="minorHAnsi"/>
                <w:sz w:val="24"/>
                <w:szCs w:val="24"/>
              </w:rPr>
            </w:pPr>
            <w:r w:rsidRPr="006440A4">
              <w:rPr>
                <w:rFonts w:asciiTheme="minorHAnsi" w:hAnsiTheme="minorHAnsi" w:cstheme="minorHAnsi"/>
                <w:sz w:val="24"/>
                <w:szCs w:val="24"/>
              </w:rPr>
              <w:t>Образуване или прекратяване на съдебно или арбитражно дело, отнасящо се до</w:t>
            </w:r>
          </w:p>
          <w:p w:rsidR="00F801B1" w:rsidRPr="006440A4" w:rsidRDefault="00F801B1" w:rsidP="00F801B1">
            <w:pPr>
              <w:pStyle w:val="TableParagraph"/>
              <w:spacing w:before="5" w:line="252" w:lineRule="exact"/>
              <w:ind w:right="161"/>
              <w:rPr>
                <w:rFonts w:asciiTheme="minorHAnsi" w:hAnsiTheme="minorHAnsi" w:cstheme="minorHAnsi"/>
                <w:sz w:val="24"/>
                <w:szCs w:val="24"/>
              </w:rPr>
            </w:pPr>
            <w:r w:rsidRPr="006440A4">
              <w:rPr>
                <w:rFonts w:asciiTheme="minorHAnsi" w:hAnsiTheme="minorHAnsi" w:cstheme="minorHAnsi"/>
                <w:sz w:val="24"/>
                <w:szCs w:val="24"/>
              </w:rPr>
              <w:t>задължения или вземания на дружеството или негово дъщерно дружество, с цена на иска най-малко 10 на сто от собствения капитал на дружеството.</w:t>
            </w:r>
          </w:p>
        </w:tc>
        <w:tc>
          <w:tcPr>
            <w:tcW w:w="3544" w:type="dxa"/>
          </w:tcPr>
          <w:p w:rsidR="00F801B1" w:rsidRPr="006440A4" w:rsidRDefault="00F801B1" w:rsidP="00F801B1">
            <w:pPr>
              <w:pStyle w:val="TableParagraph"/>
              <w:spacing w:before="1" w:line="238" w:lineRule="exact"/>
              <w:jc w:val="center"/>
              <w:rPr>
                <w:rFonts w:asciiTheme="minorHAnsi" w:hAnsiTheme="minorHAnsi" w:cstheme="minorHAnsi"/>
                <w:sz w:val="24"/>
                <w:szCs w:val="24"/>
              </w:rPr>
            </w:pPr>
            <w:r w:rsidRPr="006440A4">
              <w:rPr>
                <w:rFonts w:asciiTheme="minorHAnsi" w:hAnsiTheme="minorHAnsi" w:cstheme="minorHAnsi"/>
                <w:sz w:val="24"/>
                <w:szCs w:val="24"/>
              </w:rPr>
              <w:t>През разглеждания период няма настъпило подобно обстоятелство.</w:t>
            </w:r>
          </w:p>
        </w:tc>
        <w:tc>
          <w:tcPr>
            <w:tcW w:w="2126" w:type="dxa"/>
          </w:tcPr>
          <w:p w:rsidR="004859DB" w:rsidRDefault="004859DB" w:rsidP="00F801B1">
            <w:pPr>
              <w:pStyle w:val="TableParagraph"/>
              <w:ind w:left="109"/>
              <w:jc w:val="center"/>
              <w:rPr>
                <w:rFonts w:asciiTheme="minorHAnsi" w:hAnsiTheme="minorHAnsi" w:cstheme="minorHAnsi"/>
                <w:sz w:val="24"/>
                <w:szCs w:val="24"/>
              </w:rPr>
            </w:pPr>
          </w:p>
          <w:p w:rsidR="00F801B1" w:rsidRPr="006440A4" w:rsidRDefault="00F801B1" w:rsidP="00F801B1">
            <w:pPr>
              <w:pStyle w:val="TableParagraph"/>
              <w:ind w:left="109"/>
              <w:jc w:val="center"/>
              <w:rPr>
                <w:rFonts w:asciiTheme="minorHAnsi" w:hAnsiTheme="minorHAnsi" w:cstheme="minorHAnsi"/>
                <w:sz w:val="24"/>
                <w:szCs w:val="24"/>
              </w:rPr>
            </w:pPr>
            <w:r w:rsidRPr="006440A4">
              <w:rPr>
                <w:rFonts w:asciiTheme="minorHAnsi" w:hAnsiTheme="minorHAnsi" w:cstheme="minorHAnsi"/>
                <w:sz w:val="24"/>
                <w:szCs w:val="24"/>
              </w:rPr>
              <w:t>Неприложимо</w:t>
            </w:r>
          </w:p>
        </w:tc>
      </w:tr>
      <w:tr w:rsidR="00F801B1" w:rsidRPr="006440A4" w:rsidTr="00A91195">
        <w:trPr>
          <w:trHeight w:val="506"/>
        </w:trPr>
        <w:tc>
          <w:tcPr>
            <w:tcW w:w="567" w:type="dxa"/>
          </w:tcPr>
          <w:p w:rsidR="00F801B1" w:rsidRPr="006440A4" w:rsidRDefault="00F801B1" w:rsidP="00F801B1">
            <w:pPr>
              <w:pStyle w:val="TableParagraph"/>
              <w:spacing w:line="249" w:lineRule="exact"/>
              <w:ind w:left="107"/>
              <w:jc w:val="center"/>
              <w:rPr>
                <w:rFonts w:asciiTheme="minorHAnsi" w:hAnsiTheme="minorHAnsi" w:cstheme="minorHAnsi"/>
                <w:sz w:val="24"/>
                <w:szCs w:val="24"/>
              </w:rPr>
            </w:pPr>
            <w:r w:rsidRPr="006440A4">
              <w:rPr>
                <w:rFonts w:asciiTheme="minorHAnsi" w:hAnsiTheme="minorHAnsi" w:cstheme="minorHAnsi"/>
                <w:sz w:val="24"/>
                <w:szCs w:val="24"/>
              </w:rPr>
              <w:t>7</w:t>
            </w:r>
          </w:p>
        </w:tc>
        <w:tc>
          <w:tcPr>
            <w:tcW w:w="9072" w:type="dxa"/>
          </w:tcPr>
          <w:p w:rsidR="00F801B1" w:rsidRPr="006440A4" w:rsidRDefault="00F801B1" w:rsidP="00F801B1">
            <w:pPr>
              <w:pStyle w:val="TableParagraph"/>
              <w:spacing w:line="252" w:lineRule="exact"/>
              <w:ind w:right="277"/>
              <w:rPr>
                <w:rFonts w:asciiTheme="minorHAnsi" w:hAnsiTheme="minorHAnsi" w:cstheme="minorHAnsi"/>
                <w:sz w:val="24"/>
                <w:szCs w:val="24"/>
              </w:rPr>
            </w:pPr>
            <w:r w:rsidRPr="006440A4">
              <w:rPr>
                <w:rFonts w:asciiTheme="minorHAnsi" w:hAnsiTheme="minorHAnsi" w:cstheme="minorHAnsi"/>
                <w:sz w:val="24"/>
                <w:szCs w:val="24"/>
              </w:rPr>
              <w:t>Покупка, продажба или учреден залог на дялови участия в търговски дружества от емитента или негово дъщерно дружество.</w:t>
            </w:r>
          </w:p>
        </w:tc>
        <w:tc>
          <w:tcPr>
            <w:tcW w:w="3544" w:type="dxa"/>
          </w:tcPr>
          <w:p w:rsidR="00F801B1" w:rsidRPr="006440A4" w:rsidRDefault="00F801B1" w:rsidP="00F801B1">
            <w:pPr>
              <w:pStyle w:val="TableParagraph"/>
              <w:spacing w:line="252" w:lineRule="exact"/>
              <w:ind w:right="424"/>
              <w:jc w:val="center"/>
              <w:rPr>
                <w:rFonts w:asciiTheme="minorHAnsi" w:hAnsiTheme="minorHAnsi" w:cstheme="minorHAnsi"/>
                <w:sz w:val="24"/>
                <w:szCs w:val="24"/>
              </w:rPr>
            </w:pPr>
            <w:r w:rsidRPr="006440A4">
              <w:rPr>
                <w:rFonts w:asciiTheme="minorHAnsi" w:hAnsiTheme="minorHAnsi" w:cstheme="minorHAnsi"/>
                <w:sz w:val="24"/>
                <w:szCs w:val="24"/>
              </w:rPr>
              <w:t>Няма подобни сделки.</w:t>
            </w:r>
          </w:p>
        </w:tc>
        <w:tc>
          <w:tcPr>
            <w:tcW w:w="2126" w:type="dxa"/>
          </w:tcPr>
          <w:p w:rsidR="00F801B1" w:rsidRPr="006440A4" w:rsidRDefault="00F801B1" w:rsidP="00F801B1">
            <w:pPr>
              <w:pStyle w:val="TableParagraph"/>
              <w:spacing w:line="249" w:lineRule="exact"/>
              <w:ind w:left="109"/>
              <w:jc w:val="center"/>
              <w:rPr>
                <w:rFonts w:asciiTheme="minorHAnsi" w:hAnsiTheme="minorHAnsi" w:cstheme="minorHAnsi"/>
                <w:sz w:val="24"/>
                <w:szCs w:val="24"/>
              </w:rPr>
            </w:pPr>
            <w:r w:rsidRPr="006440A4">
              <w:rPr>
                <w:rFonts w:asciiTheme="minorHAnsi" w:hAnsiTheme="minorHAnsi" w:cstheme="minorHAnsi"/>
                <w:sz w:val="24"/>
                <w:szCs w:val="24"/>
              </w:rPr>
              <w:t>Неприложимо</w:t>
            </w:r>
          </w:p>
        </w:tc>
      </w:tr>
      <w:tr w:rsidR="00F801B1" w:rsidRPr="006440A4" w:rsidTr="00A91195">
        <w:trPr>
          <w:trHeight w:val="760"/>
        </w:trPr>
        <w:tc>
          <w:tcPr>
            <w:tcW w:w="567" w:type="dxa"/>
          </w:tcPr>
          <w:p w:rsidR="004859DB" w:rsidRDefault="004859DB" w:rsidP="00F801B1">
            <w:pPr>
              <w:pStyle w:val="TableParagraph"/>
              <w:spacing w:line="249" w:lineRule="exact"/>
              <w:ind w:left="107"/>
              <w:jc w:val="center"/>
              <w:rPr>
                <w:rFonts w:asciiTheme="minorHAnsi" w:hAnsiTheme="minorHAnsi" w:cstheme="minorHAnsi"/>
                <w:sz w:val="24"/>
                <w:szCs w:val="24"/>
              </w:rPr>
            </w:pPr>
          </w:p>
          <w:p w:rsidR="00F801B1" w:rsidRPr="006440A4" w:rsidRDefault="00F801B1" w:rsidP="00F801B1">
            <w:pPr>
              <w:pStyle w:val="TableParagraph"/>
              <w:spacing w:line="249" w:lineRule="exact"/>
              <w:ind w:left="107"/>
              <w:jc w:val="center"/>
              <w:rPr>
                <w:rFonts w:asciiTheme="minorHAnsi" w:hAnsiTheme="minorHAnsi" w:cstheme="minorHAnsi"/>
                <w:sz w:val="24"/>
                <w:szCs w:val="24"/>
              </w:rPr>
            </w:pPr>
            <w:r w:rsidRPr="006440A4">
              <w:rPr>
                <w:rFonts w:asciiTheme="minorHAnsi" w:hAnsiTheme="minorHAnsi" w:cstheme="minorHAnsi"/>
                <w:sz w:val="24"/>
                <w:szCs w:val="24"/>
              </w:rPr>
              <w:t>8</w:t>
            </w:r>
          </w:p>
        </w:tc>
        <w:tc>
          <w:tcPr>
            <w:tcW w:w="9072" w:type="dxa"/>
          </w:tcPr>
          <w:p w:rsidR="00F801B1" w:rsidRPr="006440A4" w:rsidRDefault="00F801B1" w:rsidP="00F801B1">
            <w:pPr>
              <w:pStyle w:val="TableParagraph"/>
              <w:spacing w:line="252" w:lineRule="exact"/>
              <w:ind w:right="205"/>
              <w:rPr>
                <w:rFonts w:asciiTheme="minorHAnsi" w:hAnsiTheme="minorHAnsi" w:cstheme="minorHAnsi"/>
                <w:sz w:val="24"/>
                <w:szCs w:val="24"/>
              </w:rPr>
            </w:pPr>
            <w:r w:rsidRPr="006440A4">
              <w:rPr>
                <w:rFonts w:asciiTheme="minorHAnsi" w:hAnsiTheme="minorHAnsi" w:cstheme="minorHAnsi"/>
                <w:sz w:val="24"/>
                <w:szCs w:val="24"/>
              </w:rPr>
              <w:t>Други обстоятелства, които дружеството счита, че биха могли да бъдат от значение за инвеститорите при вземането на решение да придобият, да продадат или да продължат да притежават публично предлагани ценни книжа.</w:t>
            </w:r>
          </w:p>
        </w:tc>
        <w:tc>
          <w:tcPr>
            <w:tcW w:w="3544" w:type="dxa"/>
          </w:tcPr>
          <w:p w:rsidR="00F801B1" w:rsidRPr="006440A4" w:rsidRDefault="00F801B1" w:rsidP="00F801B1">
            <w:pPr>
              <w:pStyle w:val="TableParagraph"/>
              <w:spacing w:before="1" w:line="238" w:lineRule="exact"/>
              <w:jc w:val="center"/>
              <w:rPr>
                <w:rFonts w:asciiTheme="minorHAnsi" w:hAnsiTheme="minorHAnsi" w:cstheme="minorHAnsi"/>
                <w:sz w:val="24"/>
                <w:szCs w:val="24"/>
              </w:rPr>
            </w:pPr>
            <w:r w:rsidRPr="006440A4">
              <w:rPr>
                <w:rFonts w:asciiTheme="minorHAnsi" w:hAnsiTheme="minorHAnsi" w:cstheme="minorHAnsi"/>
                <w:sz w:val="24"/>
                <w:szCs w:val="24"/>
              </w:rPr>
              <w:t>През разглеждания период няма настъпило подобно обстоятелство.</w:t>
            </w:r>
          </w:p>
        </w:tc>
        <w:tc>
          <w:tcPr>
            <w:tcW w:w="2126" w:type="dxa"/>
          </w:tcPr>
          <w:p w:rsidR="004859DB" w:rsidRDefault="004859DB" w:rsidP="00F801B1">
            <w:pPr>
              <w:pStyle w:val="TableParagraph"/>
              <w:spacing w:line="249" w:lineRule="exact"/>
              <w:ind w:left="109"/>
              <w:jc w:val="center"/>
              <w:rPr>
                <w:rFonts w:asciiTheme="minorHAnsi" w:hAnsiTheme="minorHAnsi" w:cstheme="minorHAnsi"/>
                <w:sz w:val="24"/>
                <w:szCs w:val="24"/>
              </w:rPr>
            </w:pPr>
          </w:p>
          <w:p w:rsidR="00F801B1" w:rsidRPr="006440A4" w:rsidRDefault="00F801B1" w:rsidP="00F801B1">
            <w:pPr>
              <w:pStyle w:val="TableParagraph"/>
              <w:spacing w:line="249" w:lineRule="exact"/>
              <w:ind w:left="109"/>
              <w:jc w:val="center"/>
              <w:rPr>
                <w:rFonts w:asciiTheme="minorHAnsi" w:hAnsiTheme="minorHAnsi" w:cstheme="minorHAnsi"/>
                <w:sz w:val="24"/>
                <w:szCs w:val="24"/>
              </w:rPr>
            </w:pPr>
            <w:r w:rsidRPr="006440A4">
              <w:rPr>
                <w:rFonts w:asciiTheme="minorHAnsi" w:hAnsiTheme="minorHAnsi" w:cstheme="minorHAnsi"/>
                <w:sz w:val="24"/>
                <w:szCs w:val="24"/>
              </w:rPr>
              <w:t>Неприложимо</w:t>
            </w:r>
          </w:p>
        </w:tc>
      </w:tr>
    </w:tbl>
    <w:p w:rsidR="00FD50F6" w:rsidRPr="006440A4" w:rsidRDefault="00FD50F6">
      <w:pPr>
        <w:rPr>
          <w:rFonts w:asciiTheme="minorHAnsi" w:hAnsiTheme="minorHAnsi" w:cstheme="minorHAnsi"/>
          <w:b/>
          <w:sz w:val="24"/>
          <w:szCs w:val="24"/>
        </w:rPr>
      </w:pPr>
    </w:p>
    <w:p w:rsidR="00FD50F6" w:rsidRPr="006440A4" w:rsidRDefault="00FD50F6">
      <w:pPr>
        <w:spacing w:before="4"/>
        <w:rPr>
          <w:rFonts w:asciiTheme="minorHAnsi" w:hAnsiTheme="minorHAnsi" w:cstheme="minorHAnsi"/>
          <w:b/>
          <w:sz w:val="24"/>
          <w:szCs w:val="24"/>
        </w:rPr>
      </w:pPr>
    </w:p>
    <w:p w:rsidR="005168BE" w:rsidRPr="006440A4" w:rsidRDefault="005168BE" w:rsidP="005168BE">
      <w:pPr>
        <w:ind w:left="227" w:right="11281"/>
        <w:rPr>
          <w:rFonts w:asciiTheme="minorHAnsi" w:hAnsiTheme="minorHAnsi" w:cstheme="minorHAnsi"/>
          <w:sz w:val="24"/>
          <w:szCs w:val="24"/>
        </w:rPr>
      </w:pPr>
      <w:r w:rsidRPr="006440A4">
        <w:rPr>
          <w:rFonts w:asciiTheme="minorHAnsi" w:hAnsiTheme="minorHAnsi" w:cstheme="minorHAnsi"/>
          <w:sz w:val="24"/>
          <w:szCs w:val="24"/>
        </w:rPr>
        <w:t>Иван Димитров Пирински</w:t>
      </w:r>
    </w:p>
    <w:p w:rsidR="00FD50F6" w:rsidRPr="006440A4" w:rsidRDefault="0084360D" w:rsidP="006440A4">
      <w:pPr>
        <w:ind w:left="227" w:right="12131"/>
        <w:rPr>
          <w:rFonts w:asciiTheme="minorHAnsi" w:hAnsiTheme="minorHAnsi" w:cstheme="minorHAnsi"/>
          <w:sz w:val="24"/>
          <w:szCs w:val="24"/>
        </w:rPr>
      </w:pPr>
      <w:r w:rsidRPr="006440A4">
        <w:rPr>
          <w:rFonts w:asciiTheme="minorHAnsi" w:hAnsiTheme="minorHAnsi" w:cstheme="minorHAnsi"/>
          <w:sz w:val="24"/>
          <w:szCs w:val="24"/>
        </w:rPr>
        <w:t xml:space="preserve">Изпълнителен </w:t>
      </w:r>
      <w:r w:rsidR="006440A4">
        <w:rPr>
          <w:rFonts w:asciiTheme="minorHAnsi" w:hAnsiTheme="minorHAnsi" w:cstheme="minorHAnsi"/>
          <w:sz w:val="24"/>
          <w:szCs w:val="24"/>
        </w:rPr>
        <w:t>д</w:t>
      </w:r>
      <w:r w:rsidRPr="006440A4">
        <w:rPr>
          <w:rFonts w:asciiTheme="minorHAnsi" w:hAnsiTheme="minorHAnsi" w:cstheme="minorHAnsi"/>
          <w:sz w:val="24"/>
          <w:szCs w:val="24"/>
        </w:rPr>
        <w:t>иректор</w:t>
      </w:r>
    </w:p>
    <w:p w:rsidR="00FD50F6" w:rsidRPr="006440A4" w:rsidRDefault="00FD50F6">
      <w:pPr>
        <w:spacing w:before="1"/>
        <w:rPr>
          <w:rFonts w:asciiTheme="minorHAnsi" w:hAnsiTheme="minorHAnsi" w:cstheme="minorHAnsi"/>
          <w:sz w:val="24"/>
          <w:szCs w:val="24"/>
        </w:rPr>
      </w:pPr>
    </w:p>
    <w:p w:rsidR="00711C01" w:rsidRDefault="00423784">
      <w:pPr>
        <w:spacing w:before="1"/>
        <w:ind w:left="227"/>
        <w:rPr>
          <w:rFonts w:asciiTheme="minorHAnsi" w:hAnsiTheme="minorHAnsi" w:cstheme="minorHAnsi"/>
          <w:sz w:val="24"/>
          <w:szCs w:val="24"/>
        </w:rPr>
      </w:pPr>
      <w:r>
        <w:rPr>
          <w:rFonts w:asciiTheme="minorHAnsi" w:hAnsiTheme="minorHAnsi" w:cstheme="minorHAnsi"/>
          <w:sz w:val="24"/>
          <w:szCs w:val="24"/>
        </w:rPr>
        <w:t>2</w:t>
      </w:r>
      <w:r w:rsidR="00FA17AD">
        <w:rPr>
          <w:rFonts w:asciiTheme="minorHAnsi" w:hAnsiTheme="minorHAnsi" w:cstheme="minorHAnsi"/>
          <w:sz w:val="24"/>
          <w:szCs w:val="24"/>
        </w:rPr>
        <w:t>8</w:t>
      </w:r>
      <w:r w:rsidR="0084360D" w:rsidRPr="006440A4">
        <w:rPr>
          <w:rFonts w:asciiTheme="minorHAnsi" w:hAnsiTheme="minorHAnsi" w:cstheme="minorHAnsi"/>
          <w:sz w:val="24"/>
          <w:szCs w:val="24"/>
        </w:rPr>
        <w:t>.</w:t>
      </w:r>
      <w:r>
        <w:rPr>
          <w:rFonts w:asciiTheme="minorHAnsi" w:hAnsiTheme="minorHAnsi" w:cstheme="minorHAnsi"/>
          <w:sz w:val="24"/>
          <w:szCs w:val="24"/>
        </w:rPr>
        <w:t>1</w:t>
      </w:r>
      <w:r w:rsidR="0084360D" w:rsidRPr="006440A4">
        <w:rPr>
          <w:rFonts w:asciiTheme="minorHAnsi" w:hAnsiTheme="minorHAnsi" w:cstheme="minorHAnsi"/>
          <w:sz w:val="24"/>
          <w:szCs w:val="24"/>
        </w:rPr>
        <w:t>0.2020 г.</w:t>
      </w:r>
    </w:p>
    <w:p w:rsidR="00711C01" w:rsidRDefault="00711C01" w:rsidP="00711C01">
      <w:pPr>
        <w:rPr>
          <w:rFonts w:asciiTheme="minorHAnsi" w:hAnsiTheme="minorHAnsi" w:cstheme="minorHAnsi"/>
          <w:sz w:val="24"/>
          <w:szCs w:val="24"/>
        </w:rPr>
      </w:pPr>
    </w:p>
    <w:p w:rsidR="00FD50F6" w:rsidRPr="00711C01" w:rsidRDefault="00711C01" w:rsidP="00711C01">
      <w:pPr>
        <w:tabs>
          <w:tab w:val="left" w:pos="4455"/>
        </w:tabs>
        <w:rPr>
          <w:rFonts w:asciiTheme="minorHAnsi" w:hAnsiTheme="minorHAnsi" w:cstheme="minorHAnsi"/>
          <w:sz w:val="24"/>
          <w:szCs w:val="24"/>
        </w:rPr>
      </w:pPr>
      <w:r>
        <w:rPr>
          <w:rFonts w:asciiTheme="minorHAnsi" w:hAnsiTheme="minorHAnsi" w:cstheme="minorHAnsi"/>
          <w:sz w:val="24"/>
          <w:szCs w:val="24"/>
        </w:rPr>
        <w:tab/>
      </w:r>
    </w:p>
    <w:sectPr w:rsidR="00FD50F6" w:rsidRPr="00711C01" w:rsidSect="00711C01">
      <w:headerReference w:type="default" r:id="rId6"/>
      <w:footerReference w:type="default" r:id="rId7"/>
      <w:type w:val="continuous"/>
      <w:pgSz w:w="16850" w:h="11910" w:orient="landscape"/>
      <w:pgMar w:top="851" w:right="920" w:bottom="280" w:left="680" w:header="284" w:footer="48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C04" w:rsidRDefault="00C94C04" w:rsidP="00A91195">
      <w:r>
        <w:separator/>
      </w:r>
    </w:p>
  </w:endnote>
  <w:endnote w:type="continuationSeparator" w:id="0">
    <w:p w:rsidR="00C94C04" w:rsidRDefault="00C94C04" w:rsidP="00A91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6536501"/>
      <w:docPartObj>
        <w:docPartGallery w:val="Page Numbers (Bottom of Page)"/>
        <w:docPartUnique/>
      </w:docPartObj>
    </w:sdtPr>
    <w:sdtEndPr>
      <w:rPr>
        <w:rFonts w:asciiTheme="minorHAnsi" w:hAnsiTheme="minorHAnsi" w:cstheme="minorHAnsi"/>
        <w:b/>
        <w:noProof/>
        <w:sz w:val="18"/>
        <w:szCs w:val="18"/>
      </w:rPr>
    </w:sdtEndPr>
    <w:sdtContent>
      <w:p w:rsidR="00297596" w:rsidRPr="00297596" w:rsidRDefault="00297596" w:rsidP="00711C01">
        <w:pPr>
          <w:pStyle w:val="Footer"/>
          <w:pBdr>
            <w:top w:val="single" w:sz="4" w:space="1" w:color="auto"/>
          </w:pBdr>
          <w:jc w:val="right"/>
          <w:rPr>
            <w:rFonts w:asciiTheme="minorHAnsi" w:hAnsiTheme="minorHAnsi" w:cstheme="minorHAnsi"/>
            <w:b/>
            <w:sz w:val="18"/>
            <w:szCs w:val="18"/>
          </w:rPr>
        </w:pPr>
        <w:r w:rsidRPr="00297596">
          <w:rPr>
            <w:rFonts w:asciiTheme="minorHAnsi" w:hAnsiTheme="minorHAnsi" w:cstheme="minorHAnsi"/>
            <w:b/>
            <w:sz w:val="18"/>
            <w:szCs w:val="18"/>
          </w:rPr>
          <w:fldChar w:fldCharType="begin"/>
        </w:r>
        <w:r w:rsidRPr="00297596">
          <w:rPr>
            <w:rFonts w:asciiTheme="minorHAnsi" w:hAnsiTheme="minorHAnsi" w:cstheme="minorHAnsi"/>
            <w:b/>
            <w:sz w:val="18"/>
            <w:szCs w:val="18"/>
          </w:rPr>
          <w:instrText xml:space="preserve"> PAGE   \* MERGEFORMAT </w:instrText>
        </w:r>
        <w:r w:rsidRPr="00297596">
          <w:rPr>
            <w:rFonts w:asciiTheme="minorHAnsi" w:hAnsiTheme="minorHAnsi" w:cstheme="minorHAnsi"/>
            <w:b/>
            <w:sz w:val="18"/>
            <w:szCs w:val="18"/>
          </w:rPr>
          <w:fldChar w:fldCharType="separate"/>
        </w:r>
        <w:r w:rsidR="00EE5D2A">
          <w:rPr>
            <w:rFonts w:asciiTheme="minorHAnsi" w:hAnsiTheme="minorHAnsi" w:cstheme="minorHAnsi"/>
            <w:b/>
            <w:noProof/>
            <w:sz w:val="18"/>
            <w:szCs w:val="18"/>
          </w:rPr>
          <w:t>1</w:t>
        </w:r>
        <w:r w:rsidRPr="00297596">
          <w:rPr>
            <w:rFonts w:asciiTheme="minorHAnsi" w:hAnsiTheme="minorHAnsi" w:cstheme="minorHAnsi"/>
            <w:b/>
            <w:noProof/>
            <w:sz w:val="18"/>
            <w:szCs w:val="18"/>
          </w:rPr>
          <w:fldChar w:fldCharType="end"/>
        </w:r>
      </w:p>
    </w:sdtContent>
  </w:sdt>
  <w:p w:rsidR="00297596" w:rsidRDefault="002975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C04" w:rsidRDefault="00C94C04" w:rsidP="00A91195">
      <w:r>
        <w:separator/>
      </w:r>
    </w:p>
  </w:footnote>
  <w:footnote w:type="continuationSeparator" w:id="0">
    <w:p w:rsidR="00C94C04" w:rsidRDefault="00C94C04" w:rsidP="00A911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195" w:rsidRPr="00A91195" w:rsidRDefault="00A91195" w:rsidP="00A91195">
    <w:pPr>
      <w:tabs>
        <w:tab w:val="center" w:pos="4536"/>
        <w:tab w:val="right" w:pos="9072"/>
      </w:tabs>
      <w:rPr>
        <w:rFonts w:asciiTheme="minorHAnsi" w:hAnsiTheme="minorHAnsi" w:cstheme="minorHAnsi"/>
        <w:sz w:val="18"/>
        <w:szCs w:val="18"/>
        <w:lang w:eastAsia="en-US" w:bidi="ar-SA"/>
      </w:rPr>
    </w:pPr>
    <w:r w:rsidRPr="00A91195">
      <w:rPr>
        <w:rFonts w:asciiTheme="minorHAnsi" w:hAnsiTheme="minorHAnsi" w:cstheme="minorHAnsi"/>
        <w:sz w:val="18"/>
        <w:szCs w:val="18"/>
        <w:lang w:eastAsia="en-US" w:bidi="ar-SA"/>
      </w:rPr>
      <w:t>Компас Фонд за вземания АДСИЦ</w:t>
    </w:r>
  </w:p>
  <w:p w:rsidR="00A91195" w:rsidRPr="00A91195" w:rsidRDefault="00A91195" w:rsidP="00A91195">
    <w:pPr>
      <w:tabs>
        <w:tab w:val="center" w:pos="4536"/>
        <w:tab w:val="right" w:pos="9072"/>
      </w:tabs>
      <w:rPr>
        <w:rFonts w:asciiTheme="minorHAnsi" w:hAnsiTheme="minorHAnsi" w:cstheme="minorHAnsi"/>
        <w:sz w:val="18"/>
        <w:szCs w:val="18"/>
        <w:lang w:eastAsia="en-US" w:bidi="ar-SA"/>
      </w:rPr>
    </w:pPr>
    <w:r w:rsidRPr="00A91195">
      <w:rPr>
        <w:rFonts w:asciiTheme="minorHAnsi" w:hAnsiTheme="minorHAnsi" w:cstheme="minorHAnsi"/>
        <w:sz w:val="18"/>
        <w:szCs w:val="18"/>
        <w:lang w:eastAsia="en-US" w:bidi="ar-SA"/>
      </w:rPr>
      <w:t>Допълнителна информация към 3</w:t>
    </w:r>
    <w:r w:rsidR="00FA17AD">
      <w:rPr>
        <w:rFonts w:asciiTheme="minorHAnsi" w:hAnsiTheme="minorHAnsi" w:cstheme="minorHAnsi"/>
        <w:sz w:val="18"/>
        <w:szCs w:val="18"/>
        <w:lang w:eastAsia="en-US" w:bidi="ar-SA"/>
      </w:rPr>
      <w:t>0</w:t>
    </w:r>
    <w:r w:rsidRPr="00A91195">
      <w:rPr>
        <w:rFonts w:asciiTheme="minorHAnsi" w:hAnsiTheme="minorHAnsi" w:cstheme="minorHAnsi"/>
        <w:sz w:val="18"/>
        <w:szCs w:val="18"/>
        <w:lang w:eastAsia="en-US" w:bidi="ar-SA"/>
      </w:rPr>
      <w:t>.0</w:t>
    </w:r>
    <w:r w:rsidR="00FA17AD">
      <w:rPr>
        <w:rFonts w:asciiTheme="minorHAnsi" w:hAnsiTheme="minorHAnsi" w:cstheme="minorHAnsi"/>
        <w:sz w:val="18"/>
        <w:szCs w:val="18"/>
        <w:lang w:eastAsia="en-US" w:bidi="ar-SA"/>
      </w:rPr>
      <w:t>9</w:t>
    </w:r>
    <w:r w:rsidRPr="00A91195">
      <w:rPr>
        <w:rFonts w:asciiTheme="minorHAnsi" w:hAnsiTheme="minorHAnsi" w:cstheme="minorHAnsi"/>
        <w:sz w:val="18"/>
        <w:szCs w:val="18"/>
        <w:lang w:eastAsia="en-US" w:bidi="ar-SA"/>
      </w:rPr>
      <w:t xml:space="preserve">.2020 г. </w:t>
    </w:r>
  </w:p>
  <w:p w:rsidR="00A91195" w:rsidRPr="00A91195" w:rsidRDefault="00A91195" w:rsidP="00711C01">
    <w:pPr>
      <w:pBdr>
        <w:bottom w:val="single" w:sz="4" w:space="1" w:color="auto"/>
      </w:pBdr>
      <w:tabs>
        <w:tab w:val="center" w:pos="4536"/>
        <w:tab w:val="right" w:pos="9072"/>
      </w:tabs>
      <w:rPr>
        <w:rFonts w:asciiTheme="minorHAnsi" w:hAnsiTheme="minorHAnsi" w:cstheme="minorHAnsi"/>
        <w:sz w:val="18"/>
        <w:szCs w:val="18"/>
        <w:lang w:eastAsia="en-US" w:bidi="ar-SA"/>
      </w:rPr>
    </w:pPr>
    <w:r w:rsidRPr="00A91195">
      <w:rPr>
        <w:rFonts w:asciiTheme="minorHAnsi" w:hAnsiTheme="minorHAnsi" w:cstheme="minorHAnsi"/>
        <w:sz w:val="18"/>
        <w:szCs w:val="18"/>
        <w:lang w:eastAsia="en-US" w:bidi="ar-SA"/>
      </w:rPr>
      <w:t xml:space="preserve">по </w:t>
    </w:r>
    <w:r>
      <w:rPr>
        <w:rFonts w:asciiTheme="minorHAnsi" w:hAnsiTheme="minorHAnsi" w:cstheme="minorHAnsi"/>
        <w:sz w:val="18"/>
        <w:szCs w:val="18"/>
        <w:lang w:eastAsia="en-US" w:bidi="ar-SA"/>
      </w:rPr>
      <w:t xml:space="preserve">Приложение № 9 съгласно </w:t>
    </w:r>
    <w:r w:rsidRPr="00A91195">
      <w:rPr>
        <w:rFonts w:asciiTheme="minorHAnsi" w:hAnsiTheme="minorHAnsi" w:cstheme="minorHAnsi"/>
        <w:sz w:val="18"/>
        <w:szCs w:val="18"/>
        <w:lang w:eastAsia="en-US" w:bidi="ar-SA"/>
      </w:rPr>
      <w:t>чл.33, ал.1, т.</w:t>
    </w:r>
    <w:r>
      <w:rPr>
        <w:rFonts w:asciiTheme="minorHAnsi" w:hAnsiTheme="minorHAnsi" w:cstheme="minorHAnsi"/>
        <w:sz w:val="18"/>
        <w:szCs w:val="18"/>
        <w:lang w:eastAsia="en-US" w:bidi="ar-SA"/>
      </w:rPr>
      <w:t>3</w:t>
    </w:r>
    <w:r w:rsidRPr="00A91195">
      <w:rPr>
        <w:rFonts w:asciiTheme="minorHAnsi" w:hAnsiTheme="minorHAnsi" w:cstheme="minorHAnsi"/>
        <w:sz w:val="18"/>
        <w:szCs w:val="18"/>
        <w:lang w:eastAsia="en-US" w:bidi="ar-SA"/>
      </w:rPr>
      <w:t xml:space="preserve"> от Наредба № 2</w:t>
    </w:r>
  </w:p>
  <w:p w:rsidR="00A91195" w:rsidRDefault="00A911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0F6"/>
    <w:rsid w:val="001A1AF2"/>
    <w:rsid w:val="00283102"/>
    <w:rsid w:val="00297596"/>
    <w:rsid w:val="00423784"/>
    <w:rsid w:val="004859DB"/>
    <w:rsid w:val="00510FFC"/>
    <w:rsid w:val="005168BE"/>
    <w:rsid w:val="006440A4"/>
    <w:rsid w:val="00711C01"/>
    <w:rsid w:val="00780E9B"/>
    <w:rsid w:val="00834EE9"/>
    <w:rsid w:val="0084360D"/>
    <w:rsid w:val="009E5272"/>
    <w:rsid w:val="00A3167F"/>
    <w:rsid w:val="00A91195"/>
    <w:rsid w:val="00C50F24"/>
    <w:rsid w:val="00C94C04"/>
    <w:rsid w:val="00D00761"/>
    <w:rsid w:val="00EE5D2A"/>
    <w:rsid w:val="00F801B1"/>
    <w:rsid w:val="00FA17AD"/>
    <w:rsid w:val="00FD50F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230712-AE72-44B5-8521-737B746B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bg-BG" w:eastAsia="bg-BG" w:bidi="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47" w:lineRule="exact"/>
      <w:ind w:left="108"/>
    </w:pPr>
  </w:style>
  <w:style w:type="paragraph" w:styleId="Header">
    <w:name w:val="header"/>
    <w:basedOn w:val="Normal"/>
    <w:link w:val="HeaderChar"/>
    <w:uiPriority w:val="99"/>
    <w:unhideWhenUsed/>
    <w:rsid w:val="00A91195"/>
    <w:pPr>
      <w:tabs>
        <w:tab w:val="center" w:pos="4536"/>
        <w:tab w:val="right" w:pos="9072"/>
      </w:tabs>
    </w:pPr>
  </w:style>
  <w:style w:type="character" w:customStyle="1" w:styleId="HeaderChar">
    <w:name w:val="Header Char"/>
    <w:basedOn w:val="DefaultParagraphFont"/>
    <w:link w:val="Header"/>
    <w:uiPriority w:val="99"/>
    <w:rsid w:val="00A91195"/>
    <w:rPr>
      <w:rFonts w:ascii="Times New Roman" w:eastAsia="Times New Roman" w:hAnsi="Times New Roman" w:cs="Times New Roman"/>
      <w:lang w:val="bg-BG" w:eastAsia="bg-BG" w:bidi="bg-BG"/>
    </w:rPr>
  </w:style>
  <w:style w:type="paragraph" w:styleId="Footer">
    <w:name w:val="footer"/>
    <w:basedOn w:val="Normal"/>
    <w:link w:val="FooterChar"/>
    <w:uiPriority w:val="99"/>
    <w:unhideWhenUsed/>
    <w:rsid w:val="00A91195"/>
    <w:pPr>
      <w:tabs>
        <w:tab w:val="center" w:pos="4536"/>
        <w:tab w:val="right" w:pos="9072"/>
      </w:tabs>
    </w:pPr>
  </w:style>
  <w:style w:type="character" w:customStyle="1" w:styleId="FooterChar">
    <w:name w:val="Footer Char"/>
    <w:basedOn w:val="DefaultParagraphFont"/>
    <w:link w:val="Footer"/>
    <w:uiPriority w:val="99"/>
    <w:rsid w:val="00A91195"/>
    <w:rPr>
      <w:rFonts w:ascii="Times New Roman" w:eastAsia="Times New Roman" w:hAnsi="Times New Roman" w:cs="Times New Roman"/>
      <w:lang w:val="bg-BG" w:eastAsia="bg-B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Наредба № 2 за проспектите</vt:lpstr>
    </vt:vector>
  </TitlesOfParts>
  <Company/>
  <LinksUpToDate>false</LinksUpToDate>
  <CharactersWithSpaces>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Наредба № 2 за проспектите</dc:title>
  <dc:creator>DVI</dc:creator>
  <cp:lastModifiedBy>Valentin Stoilov</cp:lastModifiedBy>
  <cp:revision>2</cp:revision>
  <dcterms:created xsi:type="dcterms:W3CDTF">2020-10-28T11:03:00Z</dcterms:created>
  <dcterms:modified xsi:type="dcterms:W3CDTF">2020-10-28T11:03:00Z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2020-07-22T00:00:00Z</vt:filetime>
  </property>
  <property fmtid="{D5CDD505-2E9C-101B-9397-08002B2CF9AE}" pid="3" name="Creator">
    <vt:lpwstr>Acrobat PDFMaker 11 for Word</vt:lpwstr>
  </property>
  <property fmtid="{D5CDD505-2E9C-101B-9397-08002B2CF9AE}" pid="4" name="LastSaved">
    <vt:filetime>2020-08-20T00:00:00Z</vt:filetime>
  </property>
</Properties>
</file>